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[Miejscowość], [data]</w:t>
      </w:r>
    </w:p>
    <w:p>
      <w:pPr>
        <w:pStyle w:val="BodyText"/>
      </w:pPr>
      <w:r>
        <w:t xml:space="preserve">Składający petycję: [imię i nazwisko], obywatel/ka Rzeczypospolitej Polskiej, [adres], [e-mail]</w:t>
      </w:r>
    </w:p>
    <w:p>
      <w:pPr>
        <w:pStyle w:val="BodyText"/>
      </w:pPr>
      <w:r>
        <w:t xml:space="preserve">Parlament Europejski</w:t>
      </w:r>
      <w:r>
        <w:br/>
      </w:r>
      <w:r>
        <w:t xml:space="preserve">Komisja Petycji (PETI)</w:t>
      </w:r>
      <w:r>
        <w:br/>
      </w:r>
      <w:r>
        <w:t xml:space="preserve">Rue Wiertz 60, B-1047 Bruksela</w:t>
      </w:r>
    </w:p>
    <w:p>
      <w:pPr>
        <w:pStyle w:val="BodyText"/>
      </w:pPr>
      <w:r>
        <w:t xml:space="preserve">PETYCJA w sprawie przemieszczenia okazów gatunków z Aneksu A rozporządzenia Rady (WE) nr 338/97 oraz transportu zwierząt z ogrodu zoologicznego Zoo Łączna (Polska) do Niderlandów bez wymaganych zezwoleń i z naruszeniem przepisów o ochronie zwierząt podczas transportu</w:t>
      </w:r>
    </w:p>
    <w:p>
      <w:pPr>
        <w:pStyle w:val="BodyText"/>
      </w:pPr>
      <w:r>
        <w:t xml:space="preserve">Na podstawie art. 227 Traktatu o funkcjonowaniu Unii Europejskiej oraz art. 44 Karty praw podstawowych Unii Europejskiej składam petycję w sprawie, która dotyczy stosowania prawa Unii przez organy państwa członkowskiego i bezpośrednio dotyka mnie jako mieszkańca/mieszkankę gminy Mieroszów i świadka opisanych zdarzeń.</w:t>
      </w:r>
    </w:p>
    <w:p>
      <w:pPr>
        <w:pStyle w:val="BodyText"/>
      </w:pPr>
      <w:r>
        <w:t xml:space="preserve">I. Stan faktyczny</w:t>
      </w:r>
    </w:p>
    <w:p>
      <w:pPr>
        <w:numPr>
          <w:ilvl w:val="0"/>
          <w:numId w:val="1001"/>
        </w:numPr>
      </w:pPr>
      <w:r>
        <w:t xml:space="preserve">Zoo Łączna (Łączna 25, 58-350 Mieroszów, Polska) jest ogrodem zoologicznym działającym na podstawie zezwolenia Generalnego Dyrektora Ochrony Środowiska. W dniu 13 października 2026 r. polska Policja, na polecenie Prokuratury Rejonowej w Wałbrzychu, weszła na teren ogrodu w ramach postępowania karnego, zatrzymała właściciela i rozpoczęła wywóz zwierząt. W pierwszym dniu wywieziono 33 zwierzęta, część z nich do Niderlandów.</w:t>
      </w:r>
    </w:p>
    <w:p>
      <w:pPr>
        <w:numPr>
          <w:ilvl w:val="0"/>
          <w:numId w:val="1001"/>
        </w:numPr>
      </w:pPr>
      <w:r>
        <w:t xml:space="preserve">W dniu 16 października 2026 r. Ministerstwo Klimatu i Środowiska — organ zarządzający CITES w Polsce — oświadczyło publicznie, że otrzymało od Policji jeden wniosek o świadectwo na przemieszczenie „zwierząt” i wydało decyzję pozytywną dla jednego osobnika, tygrysa bengalskiego. Ministerstwo wskazało też, że wszystkie zwierzęta stały się dowodami w sprawie, a za ich stan odpowiada wyłącznie prokuratura, oraz zdementowało swój udział w planowaniu czynności.</w:t>
      </w:r>
    </w:p>
    <w:p>
      <w:pPr>
        <w:numPr>
          <w:ilvl w:val="0"/>
          <w:numId w:val="1001"/>
        </w:numPr>
      </w:pPr>
      <w:r>
        <w:t xml:space="preserve">Biegli lekarze weterynarii obecni na miejscu kwalifikowali zwierzęta jako zdolne do transportu, w tym międzynarodowego. Mimo to zwierzęta pozostawione na terenie ogrodu po odsunięciu właściciela i pracowników nie otrzymywały opieki [własne obserwacje: daty, godziny, skutki]. [Opis własnych obserwacji dotyczących załadunku i transportu, jeśli były.]</w:t>
      </w:r>
    </w:p>
    <w:p>
      <w:pPr>
        <w:pStyle w:val="Compact"/>
        <w:numPr>
          <w:ilvl w:val="0"/>
          <w:numId w:val="1002"/>
        </w:numPr>
      </w:pPr>
      <w:r>
        <w:t xml:space="preserve">Przepisy prawa Unii, których dotyczy petycja</w:t>
      </w:r>
    </w:p>
    <w:p>
      <w:pPr>
        <w:pStyle w:val="Compact"/>
        <w:numPr>
          <w:ilvl w:val="0"/>
          <w:numId w:val="1003"/>
        </w:numPr>
      </w:pPr>
      <w:r>
        <w:t xml:space="preserve">Art. 9 ust. 1 rozporządzenia Rady (WE) nr 338/97 — każde przemieszczenie żywego okazu gatunku z Aneksu A w obrębie Unii wymaga uprzedniego zezwolenia organu zarządzającego państwa członkowskiego, w którym okaz się znajduje. Wydano jedno zezwolenie; jeżeli inne okazy z Aneksu A opuściły Polskę, nastąpiło to bez zezwolenia — z inicjatywy organów państwa, które mają ten przepis egzekwować.</w:t>
      </w:r>
    </w:p>
    <w:p>
      <w:pPr>
        <w:pStyle w:val="Compact"/>
        <w:numPr>
          <w:ilvl w:val="0"/>
          <w:numId w:val="1003"/>
        </w:numPr>
      </w:pPr>
      <w:r>
        <w:t xml:space="preserve">Art. 16 rozporządzenia 338/97 — obowiązek państw członkowskich ustanowienia i stosowania sankcji za naruszenia.</w:t>
      </w:r>
    </w:p>
    <w:p>
      <w:pPr>
        <w:pStyle w:val="Compact"/>
        <w:numPr>
          <w:ilvl w:val="0"/>
          <w:numId w:val="1003"/>
        </w:numPr>
      </w:pPr>
      <w:r>
        <w:t xml:space="preserve">Rozporządzenie Rady (WE) nr 1/2005 — art. 3 (zakaz transportu powodującego zbędne cierpienie, zdolność do transportu), art. 6–7 (zezwolenia przewoźników, zatwierdzenie pojazdów), załącznik I rozdział III pkt 1.12 (oddzielny przewóz gatunków i zwierząt wrogich sobie).</w:t>
      </w:r>
    </w:p>
    <w:p>
      <w:pPr>
        <w:pStyle w:val="Compact"/>
        <w:numPr>
          <w:ilvl w:val="0"/>
          <w:numId w:val="1003"/>
        </w:numPr>
      </w:pPr>
      <w:r>
        <w:t xml:space="preserve">Rozporządzenie (UE) 2016/429 — art. 124–126, 143 i 152–153 (wymogi zdrowotne, świadectwa zdrowia i zgłoszenia TRACES przy przemieszczaniu zwierząt między państwami członkowskimi).</w:t>
      </w:r>
    </w:p>
    <w:p>
      <w:pPr>
        <w:pStyle w:val="Compact"/>
        <w:numPr>
          <w:ilvl w:val="0"/>
          <w:numId w:val="1003"/>
        </w:numPr>
      </w:pPr>
      <w:r>
        <w:t xml:space="preserve">Art. 13 TFUE (dobrostan zwierząt) oraz art. 17 Karty praw podstawowych (prawo własności).</w:t>
      </w:r>
    </w:p>
    <w:p>
      <w:pPr>
        <w:pStyle w:val="Compact"/>
        <w:numPr>
          <w:ilvl w:val="0"/>
          <w:numId w:val="1004"/>
        </w:numPr>
      </w:pPr>
      <w:r>
        <w:t xml:space="preserve">Wnioski</w:t>
      </w:r>
    </w:p>
    <w:p>
      <w:pPr>
        <w:pStyle w:val="FirstParagraph"/>
      </w:pPr>
      <w:r>
        <w:t xml:space="preserve">Zwracam się do Komisji Petycji o:</w:t>
      </w:r>
      <w:r>
        <w:br/>
      </w:r>
      <w:r>
        <w:t xml:space="preserve">1. uznanie petycji za dopuszczalną i wezwanie Komisji Europejskiej do zbadania, czy Rzeczpospolita Polska zapewnia skuteczne stosowanie art. 9 rozporządzenia 338/97 oraz rozporządzeń 1/2005 i 2016/429 w sytuacji, gdy przemieszczenia dokonują własne organy ścigania państwa;</w:t>
      </w:r>
      <w:r>
        <w:br/>
      </w:r>
      <w:r>
        <w:t xml:space="preserve">2. zwrócenie się do organów polskich i niderlandzkich o wykaz okazów przemieszczonych z Zoo Łączna w październiku 2026 r. wraz z dokumentami stanowiącymi podstawę przemieszczenia;</w:t>
      </w:r>
      <w:r>
        <w:br/>
      </w:r>
      <w:r>
        <w:t xml:space="preserve">3. rozważenie, czy potrzebne są wytyczne Komisji dotyczące zabezpieczania żywych okazów CITES jako dowodów w postępowaniach karnych w sposób niewymagający ich transportu;</w:t>
      </w:r>
      <w:r>
        <w:br/>
      </w:r>
      <w:r>
        <w:t xml:space="preserve">4. poinformowanie mnie o biegu sprawy.</w:t>
      </w:r>
    </w:p>
    <w:p>
      <w:pPr>
        <w:pStyle w:val="BodyText"/>
      </w:pPr>
      <w:r>
        <w:t xml:space="preserve">Oświadczam, że przedstawione fakty opierają się na moich własnych obserwacjach oraz na publicznych oświadczeniach organów polskich, których kopie załączam.</w:t>
      </w:r>
    </w:p>
    <w:p>
      <w:pPr>
        <w:pStyle w:val="BodyText"/>
      </w:pPr>
      <w:r>
        <w:t xml:space="preserve">[podpis]</w:t>
      </w:r>
    </w:p>
    <w:p>
      <w:pPr>
        <w:pStyle w:val="BodyText"/>
      </w:pPr>
      <w:r>
        <w:t xml:space="preserve">Załączniki: komunikat Ministerstwa Klimatu i Środowiska z 16.10.2026 (oryginał i tłumaczenie robocze); wykaz nagrań; kopie pism skierowanych do organów polskich.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612">
    <w:nsid w:val="00A99612"/>
    <w:multiLevelType w:val="multilevel"/>
    <w:lvl w:ilvl="0">
      <w:start w:val="2"/>
      <w:numFmt w:val="upperRoman"/>
      <w:lvlText w:val="%1."/>
      <w:lvlJc w:val="left"/>
      <w:pPr>
        <w:ind w:left="720" w:hanging="360"/>
      </w:pPr>
    </w:lvl>
    <w:lvl w:ilvl="1">
      <w:start w:val="2"/>
      <w:numFmt w:val="upperRoman"/>
      <w:lvlText w:val="%2."/>
      <w:lvlJc w:val="left"/>
      <w:pPr>
        <w:ind w:left="1440" w:hanging="360"/>
      </w:pPr>
    </w:lvl>
    <w:lvl w:ilvl="2">
      <w:start w:val="2"/>
      <w:numFmt w:val="upperRoman"/>
      <w:lvlText w:val="%3."/>
      <w:lvlJc w:val="left"/>
      <w:pPr>
        <w:ind w:left="2160" w:hanging="360"/>
      </w:pPr>
    </w:lvl>
    <w:lvl w:ilvl="3">
      <w:start w:val="2"/>
      <w:numFmt w:val="upperRoman"/>
      <w:lvlText w:val="%4."/>
      <w:lvlJc w:val="left"/>
      <w:pPr>
        <w:ind w:left="2880" w:hanging="360"/>
      </w:pPr>
    </w:lvl>
    <w:lvl w:ilvl="4">
      <w:start w:val="2"/>
      <w:numFmt w:val="upperRoman"/>
      <w:lvlText w:val="%5."/>
      <w:lvlJc w:val="left"/>
      <w:pPr>
        <w:ind w:left="3600" w:hanging="360"/>
      </w:pPr>
    </w:lvl>
    <w:lvl w:ilvl="5">
      <w:start w:val="2"/>
      <w:numFmt w:val="upperRoman"/>
      <w:lvlText w:val="%6."/>
      <w:lvlJc w:val="left"/>
      <w:pPr>
        <w:ind w:left="4320" w:hanging="360"/>
      </w:pPr>
    </w:lvl>
    <w:lvl w:ilvl="6">
      <w:start w:val="2"/>
      <w:numFmt w:val="upperRoman"/>
      <w:lvlText w:val="%7."/>
      <w:lvlJc w:val="left"/>
      <w:pPr>
        <w:ind w:left="5040" w:hanging="360"/>
      </w:pPr>
    </w:lvl>
    <w:lvl w:ilvl="7">
      <w:start w:val="2"/>
      <w:numFmt w:val="upperRoman"/>
      <w:lvlText w:val="%8."/>
      <w:lvlJc w:val="left"/>
      <w:pPr>
        <w:ind w:left="5760" w:hanging="360"/>
      </w:pPr>
    </w:lvl>
    <w:lvl w:ilvl="8">
      <w:start w:val="2"/>
      <w:numFmt w:val="upperRoman"/>
      <w:lvlText w:val="%9."/>
      <w:lvlJc w:val="left"/>
      <w:pPr>
        <w:ind w:left="6480" w:hanging="360"/>
      </w:pPr>
    </w:lvl>
  </w:abstractNum>
  <w:abstractNum w:abstractNumId="99613">
    <w:nsid w:val="00A99613"/>
    <w:multiLevelType w:val="multilevel"/>
    <w:lvl w:ilvl="0">
      <w:start w:val="3"/>
      <w:numFmt w:val="upperRoman"/>
      <w:lvlText w:val="%1."/>
      <w:lvlJc w:val="left"/>
      <w:pPr>
        <w:ind w:left="720" w:hanging="360"/>
      </w:pPr>
    </w:lvl>
    <w:lvl w:ilvl="1">
      <w:start w:val="3"/>
      <w:numFmt w:val="upperRoman"/>
      <w:lvlText w:val="%2."/>
      <w:lvlJc w:val="left"/>
      <w:pPr>
        <w:ind w:left="1440" w:hanging="360"/>
      </w:pPr>
    </w:lvl>
    <w:lvl w:ilvl="2">
      <w:start w:val="3"/>
      <w:numFmt w:val="upperRoman"/>
      <w:lvlText w:val="%3."/>
      <w:lvlJc w:val="left"/>
      <w:pPr>
        <w:ind w:left="2160" w:hanging="360"/>
      </w:pPr>
    </w:lvl>
    <w:lvl w:ilvl="3">
      <w:start w:val="3"/>
      <w:numFmt w:val="upperRoman"/>
      <w:lvlText w:val="%4."/>
      <w:lvlJc w:val="left"/>
      <w:pPr>
        <w:ind w:left="2880" w:hanging="360"/>
      </w:pPr>
    </w:lvl>
    <w:lvl w:ilvl="4">
      <w:start w:val="3"/>
      <w:numFmt w:val="upperRoman"/>
      <w:lvlText w:val="%5."/>
      <w:lvlJc w:val="left"/>
      <w:pPr>
        <w:ind w:left="3600" w:hanging="360"/>
      </w:pPr>
    </w:lvl>
    <w:lvl w:ilvl="5">
      <w:start w:val="3"/>
      <w:numFmt w:val="upperRoman"/>
      <w:lvlText w:val="%6."/>
      <w:lvlJc w:val="left"/>
      <w:pPr>
        <w:ind w:left="4320" w:hanging="360"/>
      </w:pPr>
    </w:lvl>
    <w:lvl w:ilvl="6">
      <w:start w:val="3"/>
      <w:numFmt w:val="upperRoman"/>
      <w:lvlText w:val="%7."/>
      <w:lvlJc w:val="left"/>
      <w:pPr>
        <w:ind w:left="5040" w:hanging="360"/>
      </w:pPr>
    </w:lvl>
    <w:lvl w:ilvl="7">
      <w:start w:val="3"/>
      <w:numFmt w:val="upperRoman"/>
      <w:lvlText w:val="%8."/>
      <w:lvlJc w:val="left"/>
      <w:pPr>
        <w:ind w:left="5760" w:hanging="360"/>
      </w:pPr>
    </w:lvl>
    <w:lvl w:ilvl="8">
      <w:start w:val="3"/>
      <w:numFmt w:val="upp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6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6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2026-10-16T18:46:34Z</dcterms:created>
  <dcterms:modified xsi:type="dcterms:W3CDTF">2026-10-16T18:46:34Z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