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[Miejscowość], [data]</w:t>
      </w:r>
    </w:p>
    <w:p>
      <w:pPr>
        <w:pStyle w:val="BodyText"/>
      </w:pPr>
      <w:r>
        <w:t xml:space="preserve">Skarżący: [imię, nazwisko, adres, telefon, e-mail]</w:t>
      </w:r>
    </w:p>
    <w:p>
      <w:pPr>
        <w:pStyle w:val="BodyText"/>
      </w:pPr>
      <w:r>
        <w:t xml:space="preserve">Prokurator Regionalny we Wrocławiu</w:t>
      </w:r>
      <w:r>
        <w:br/>
      </w:r>
      <w:r>
        <w:t xml:space="preserve">ul. Piłsudskiego 76/78, 50-020 Wrocław</w:t>
      </w:r>
      <w:r>
        <w:br/>
      </w:r>
      <w:r>
        <w:t xml:space="preserve">tel. 71 33 06 800 | e-mail: biuro.podawcze.rpwro@prokuratura.gov.pl | ePUAP: /0q978avwk4/skrytka</w:t>
      </w:r>
      <w:r>
        <w:br/>
      </w:r>
      <w:r>
        <w:t xml:space="preserve">Do wiadomości: Prokurator Krajowy, ul. Postępu 3, 02-676 Warszawa, biuro.podawcze.pk@prokuratura.gov.pl</w:t>
      </w:r>
    </w:p>
    <w:p>
      <w:pPr>
        <w:pStyle w:val="BodyText"/>
      </w:pPr>
      <w:r>
        <w:t xml:space="preserve">(Skargę i wniosek o nadzór można złożyć przez ePUAP — prokuratura przyjmuje tą drogą skargi i wnioski; alternatywnie list polecony.)</w:t>
      </w:r>
    </w:p>
    <w:p>
      <w:pPr>
        <w:pStyle w:val="BodyText"/>
      </w:pPr>
      <w:r>
        <w:t xml:space="preserve">SKARGA na sposób prowadzenia czynności przez Prokuraturę Rejonową w Wałbrzychu w sprawie Zoo Łączna oraz WNIOSEK o objęcie postępowania nadzorem służbowym</w:t>
      </w:r>
    </w:p>
    <w:p>
      <w:pPr>
        <w:pStyle w:val="BodyText"/>
      </w:pPr>
      <w:r>
        <w:t xml:space="preserve">I. Podstawa prawna</w:t>
      </w:r>
    </w:p>
    <w:p>
      <w:pPr>
        <w:pStyle w:val="BodyText"/>
      </w:pPr>
      <w:r>
        <w:t xml:space="preserve">Art. 63 Konstytucji RP; art. 227 k.p.a. w zw. z art. 229 k.p.a.; przepisy ustawy z dnia 28 stycznia 2016 r. – Prawo o prokuraturze o nadzorze służbowym prokuratora nadrzędnego nad postępowaniem przygotowawczym; art. 2 k.p.k. (cele postępowania, w tym poszanowanie praw osób niebędących stronami) i art. 227 k.p.k. (umiar przy przeszukaniu i zatrzymaniu rzeczy).</w:t>
      </w:r>
    </w:p>
    <w:p>
      <w:pPr>
        <w:pStyle w:val="Compact"/>
        <w:numPr>
          <w:ilvl w:val="0"/>
          <w:numId w:val="1001"/>
        </w:numPr>
      </w:pPr>
      <w:r>
        <w:t xml:space="preserve">Okoliczności</w:t>
      </w:r>
    </w:p>
    <w:p>
      <w:pPr>
        <w:numPr>
          <w:ilvl w:val="0"/>
          <w:numId w:val="1002"/>
        </w:numPr>
      </w:pPr>
      <w:r>
        <w:t xml:space="preserve">W dniu 13 października 2026 r. na polecenie Prokuratury Rejonowej w Wałbrzychu rozpoczęto czynności w Zoo Łączna — ogrodzie zoologicznym posiadającym ważne zezwolenie Generalnego Dyrektora Ochrony Środowiska (art. 67 ustawy z dnia 16 kwietnia 2004 r. o ochronie przyrody, Dz.U. 2024 poz. 1478). Postępowanie GDOŚ w sprawie cofnięcia zezwolenia, wszczęte 5 sierpnia 2026 r., nie zostało zakończone, a prokuratura nie działała na wniosek GDOŚ (komunikat MKiŚ z 16.10.2026, załącznik).</w:t>
      </w:r>
    </w:p>
    <w:p>
      <w:pPr>
        <w:numPr>
          <w:ilvl w:val="0"/>
          <w:numId w:val="1002"/>
        </w:numPr>
      </w:pPr>
      <w:r>
        <w:t xml:space="preserve">Wywóz zwierząt rozpoczęto w dniu czynności, przed [sporządzeniem indywidualnych opinii biegłych co do każdego zwierzęcia — źródło: komunikat prokuratury z dnia — / wypowiedź rzecznika — w —]. Prokuratura publicznie informowała, że „o tym, które zwierzęta opuszczą zoo, mają indywidualnie decydować biegli” (wypowiedź rzecznika z [14].10.2026, [źródło]), a mimo to w pierwszym dniu wywieziono 33 zwierzęta.</w:t>
      </w:r>
    </w:p>
    <w:p>
      <w:pPr>
        <w:numPr>
          <w:ilvl w:val="0"/>
          <w:numId w:val="1002"/>
        </w:numPr>
      </w:pPr>
      <w:r>
        <w:t xml:space="preserve">Biegli lekarze weterynarii kwalifikowali zwierzęta jako zdolne do transportu, w tym międzynarodowego. Dobry stan zdrowia, warunkujący dopuszczenie do transportu (art. 3 lit. b i zał. I rozdz. I rozporządzenia Rady (WE) nr 1/2005), wyklucza istnienie zagrożenia życia lub zdrowia uzasadniającego natychmiastowe przemieszczenie. Zabezpieczenie dowodu mogło nastąpić na miejscu, przez oddanie zwierząt na przechowanie (art. 228 § 1 k.p.k.) z zakazem zbywania i przemieszczania.</w:t>
      </w:r>
    </w:p>
    <w:p>
      <w:pPr>
        <w:numPr>
          <w:ilvl w:val="0"/>
          <w:numId w:val="1002"/>
        </w:numPr>
      </w:pPr>
      <w:r>
        <w:t xml:space="preserve">Po zatrzymaniu właściciela i odsunięciu pracowników zwierzętom pozostałym na terenie zoo nie zapewniono opieki. [Własne obserwacje: daty, godziny, co widziałeś; nagrania.] Według komunikatu MKiŚ z 16.10.2026 „jedynie Prokuratura (…) odpowiada za ich stan”.</w:t>
      </w:r>
    </w:p>
    <w:p>
      <w:pPr>
        <w:numPr>
          <w:ilvl w:val="0"/>
          <w:numId w:val="1002"/>
        </w:numPr>
      </w:pPr>
      <w:r>
        <w:t xml:space="preserve">Okazy gatunków z Aneksu A rozporządzenia Rady (WE) nr 338/97 przemieszczono poza granice RP w trakcie czynności. Organ zarządzający CITES wydał jedno świadectwo — dla tygrysa bengalskiego (komunikat MKiŚ). Wnoszę o zbadanie, czy inne okazy z Aneksu A opuściły Polskę i czy prokurator zarządzający czynnościami zweryfikował wymagane dokumenty przed wydaniem zwierząt.</w:t>
      </w:r>
    </w:p>
    <w:p>
      <w:pPr>
        <w:numPr>
          <w:ilvl w:val="0"/>
          <w:numId w:val="1002"/>
        </w:numPr>
      </w:pPr>
      <w:r>
        <w:t xml:space="preserve">Zwierzęta przekazano podmiotom [nazwy z komunikatów urzędowych, jeśli znane] — bez, według dostępnych informacji, ustalenia, czy spełniają one warunki z art. 7 ust. 1c ustawy o ochronie zwierząt (schronisko, gospodarstwo rolne, ogród zoologiczny lub azyl).</w:t>
      </w:r>
    </w:p>
    <w:p>
      <w:pPr>
        <w:numPr>
          <w:ilvl w:val="0"/>
          <w:numId w:val="1002"/>
        </w:numPr>
      </w:pPr>
      <w:r>
        <w:t xml:space="preserve">Zarzut znęcania się obejmuje [567] zwierząt przebywających w zoo w dniu 13.10.2026 — czyli te same zwierzęta, które tego samego dnia biegli uznali za zdrowe i zdolne do transportu.</w:t>
      </w:r>
    </w:p>
    <w:p>
      <w:pPr>
        <w:pStyle w:val="Compact"/>
        <w:numPr>
          <w:ilvl w:val="0"/>
          <w:numId w:val="1003"/>
        </w:numPr>
      </w:pPr>
      <w:r>
        <w:t xml:space="preserve">Wnioski</w:t>
      </w:r>
    </w:p>
    <w:p>
      <w:pPr>
        <w:pStyle w:val="Compact"/>
        <w:numPr>
          <w:ilvl w:val="0"/>
          <w:numId w:val="1004"/>
        </w:numPr>
      </w:pPr>
      <w:r>
        <w:t xml:space="preserve">O objęcie postępowania Prokuratury Rejonowej w Wałbrzychu, sygn. [—], nadzorem służbowym Prokuratora Regionalnego, a w razie stwierdzenia udziału Prokuratury Okręgowej w Świdnicy w czynnościach — o przekazanie nadzoru na szczebel Prokuratury Krajowej.</w:t>
      </w:r>
    </w:p>
    <w:p>
      <w:pPr>
        <w:pStyle w:val="Compact"/>
        <w:numPr>
          <w:ilvl w:val="0"/>
          <w:numId w:val="1004"/>
        </w:numPr>
      </w:pPr>
      <w:r>
        <w:t xml:space="preserve">O zbadanie legalności, celowości i współmierności czynności z 13–[—].10.2026, w szczególności: podstawy prawnej wejścia i zatrzymania rzeczy, podstawy decyzji o wywozie zamiast zabezpieczenia na miejscu, zapewnienia opieki zwierzętom pozostawionym, weryfikacji dokumentów CITES i weterynaryjnych, doboru podmiotów przejmujących zwierzęta.</w:t>
      </w:r>
    </w:p>
    <w:p>
      <w:pPr>
        <w:pStyle w:val="Compact"/>
        <w:numPr>
          <w:ilvl w:val="0"/>
          <w:numId w:val="1004"/>
        </w:numPr>
      </w:pPr>
      <w:r>
        <w:t xml:space="preserve">O ustalenie, na jakich ustaleniach faktycznych oparto zarzut znęcania się wobec każdego z [567] zwierząt i czy ustalenia te są zgodne z opiniami biegłych z tego samego dnia.</w:t>
      </w:r>
    </w:p>
    <w:p>
      <w:pPr>
        <w:pStyle w:val="Compact"/>
        <w:numPr>
          <w:ilvl w:val="0"/>
          <w:numId w:val="1004"/>
        </w:numPr>
      </w:pPr>
      <w:r>
        <w:t xml:space="preserve">O polecenie wstrzymania dalszych przemieszczeń zwierząt poza teren zoo i poza granice RP do czasu zakończenia badania.</w:t>
      </w:r>
    </w:p>
    <w:p>
      <w:pPr>
        <w:pStyle w:val="Compact"/>
        <w:numPr>
          <w:ilvl w:val="0"/>
          <w:numId w:val="1004"/>
        </w:numPr>
      </w:pPr>
      <w:r>
        <w:t xml:space="preserve">O pisemną informację o sposobie załatwienia skargi (art. 237 § 1 k.p.a.).</w:t>
      </w:r>
    </w:p>
    <w:p>
      <w:pPr>
        <w:pStyle w:val="Compact"/>
        <w:numPr>
          <w:ilvl w:val="0"/>
          <w:numId w:val="1005"/>
        </w:numPr>
      </w:pPr>
      <w:r>
        <w:t xml:space="preserve">Dowody: nagrania (nośnik + wykaz), oświadczenia świadków, komunikat MKiŚ z 16.10.2026, [publiczne wypowiedzi prokuratury — wydruki z datą i źródłem].</w:t>
      </w:r>
    </w:p>
    <w:p>
      <w:pPr>
        <w:pStyle w:val="FirstParagraph"/>
      </w:pPr>
      <w:r>
        <w:t xml:space="preserve">[podpis]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612">
    <w:nsid w:val="00A99612"/>
    <w:multiLevelType w:val="multilevel"/>
    <w:lvl w:ilvl="0">
      <w:start w:val="2"/>
      <w:numFmt w:val="upperRoman"/>
      <w:lvlText w:val="%1."/>
      <w:lvlJc w:val="left"/>
      <w:pPr>
        <w:ind w:left="720" w:hanging="360"/>
      </w:pPr>
    </w:lvl>
    <w:lvl w:ilvl="1">
      <w:start w:val="2"/>
      <w:numFmt w:val="upperRoman"/>
      <w:lvlText w:val="%2."/>
      <w:lvlJc w:val="left"/>
      <w:pPr>
        <w:ind w:left="1440" w:hanging="360"/>
      </w:pPr>
    </w:lvl>
    <w:lvl w:ilvl="2">
      <w:start w:val="2"/>
      <w:numFmt w:val="upperRoman"/>
      <w:lvlText w:val="%3."/>
      <w:lvlJc w:val="left"/>
      <w:pPr>
        <w:ind w:left="2160" w:hanging="360"/>
      </w:pPr>
    </w:lvl>
    <w:lvl w:ilvl="3">
      <w:start w:val="2"/>
      <w:numFmt w:val="upperRoman"/>
      <w:lvlText w:val="%4."/>
      <w:lvlJc w:val="left"/>
      <w:pPr>
        <w:ind w:left="2880" w:hanging="360"/>
      </w:pPr>
    </w:lvl>
    <w:lvl w:ilvl="4">
      <w:start w:val="2"/>
      <w:numFmt w:val="upperRoman"/>
      <w:lvlText w:val="%5."/>
      <w:lvlJc w:val="left"/>
      <w:pPr>
        <w:ind w:left="3600" w:hanging="360"/>
      </w:pPr>
    </w:lvl>
    <w:lvl w:ilvl="5">
      <w:start w:val="2"/>
      <w:numFmt w:val="upperRoman"/>
      <w:lvlText w:val="%6."/>
      <w:lvlJc w:val="left"/>
      <w:pPr>
        <w:ind w:left="4320" w:hanging="360"/>
      </w:pPr>
    </w:lvl>
    <w:lvl w:ilvl="6">
      <w:start w:val="2"/>
      <w:numFmt w:val="upperRoman"/>
      <w:lvlText w:val="%7."/>
      <w:lvlJc w:val="left"/>
      <w:pPr>
        <w:ind w:left="5040" w:hanging="360"/>
      </w:pPr>
    </w:lvl>
    <w:lvl w:ilvl="7">
      <w:start w:val="2"/>
      <w:numFmt w:val="upperRoman"/>
      <w:lvlText w:val="%8."/>
      <w:lvlJc w:val="left"/>
      <w:pPr>
        <w:ind w:left="5760" w:hanging="360"/>
      </w:pPr>
    </w:lvl>
    <w:lvl w:ilvl="8">
      <w:start w:val="2"/>
      <w:numFmt w:val="upperRoman"/>
      <w:lvlText w:val="%9.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613">
    <w:nsid w:val="00A99613"/>
    <w:multiLevelType w:val="multilevel"/>
    <w:lvl w:ilvl="0">
      <w:start w:val="3"/>
      <w:numFmt w:val="upperRoman"/>
      <w:lvlText w:val="%1."/>
      <w:lvlJc w:val="left"/>
      <w:pPr>
        <w:ind w:left="720" w:hanging="360"/>
      </w:pPr>
    </w:lvl>
    <w:lvl w:ilvl="1">
      <w:start w:val="3"/>
      <w:numFmt w:val="upperRoman"/>
      <w:lvlText w:val="%2."/>
      <w:lvlJc w:val="left"/>
      <w:pPr>
        <w:ind w:left="1440" w:hanging="360"/>
      </w:pPr>
    </w:lvl>
    <w:lvl w:ilvl="2">
      <w:start w:val="3"/>
      <w:numFmt w:val="upperRoman"/>
      <w:lvlText w:val="%3."/>
      <w:lvlJc w:val="left"/>
      <w:pPr>
        <w:ind w:left="2160" w:hanging="360"/>
      </w:pPr>
    </w:lvl>
    <w:lvl w:ilvl="3">
      <w:start w:val="3"/>
      <w:numFmt w:val="upperRoman"/>
      <w:lvlText w:val="%4."/>
      <w:lvlJc w:val="left"/>
      <w:pPr>
        <w:ind w:left="2880" w:hanging="360"/>
      </w:pPr>
    </w:lvl>
    <w:lvl w:ilvl="4">
      <w:start w:val="3"/>
      <w:numFmt w:val="upperRoman"/>
      <w:lvlText w:val="%5."/>
      <w:lvlJc w:val="left"/>
      <w:pPr>
        <w:ind w:left="3600" w:hanging="360"/>
      </w:pPr>
    </w:lvl>
    <w:lvl w:ilvl="5">
      <w:start w:val="3"/>
      <w:numFmt w:val="upperRoman"/>
      <w:lvlText w:val="%6."/>
      <w:lvlJc w:val="left"/>
      <w:pPr>
        <w:ind w:left="4320" w:hanging="360"/>
      </w:pPr>
    </w:lvl>
    <w:lvl w:ilvl="6">
      <w:start w:val="3"/>
      <w:numFmt w:val="upperRoman"/>
      <w:lvlText w:val="%7."/>
      <w:lvlJc w:val="left"/>
      <w:pPr>
        <w:ind w:left="5040" w:hanging="360"/>
      </w:pPr>
    </w:lvl>
    <w:lvl w:ilvl="7">
      <w:start w:val="3"/>
      <w:numFmt w:val="upperRoman"/>
      <w:lvlText w:val="%8."/>
      <w:lvlJc w:val="left"/>
      <w:pPr>
        <w:ind w:left="5760" w:hanging="360"/>
      </w:pPr>
    </w:lvl>
    <w:lvl w:ilvl="8">
      <w:start w:val="3"/>
      <w:numFmt w:val="upperRoman"/>
      <w:lvlText w:val="%9."/>
      <w:lvlJc w:val="left"/>
      <w:pPr>
        <w:ind w:left="6480" w:hanging="360"/>
      </w:pPr>
    </w:lvl>
  </w:abstractNum>
  <w:abstractNum w:abstractNumId="99614">
    <w:nsid w:val="00A99614"/>
    <w:multiLevelType w:val="multilevel"/>
    <w:lvl w:ilvl="0">
      <w:start w:val="4"/>
      <w:numFmt w:val="upperRoman"/>
      <w:lvlText w:val="%1."/>
      <w:lvlJc w:val="left"/>
      <w:pPr>
        <w:ind w:left="720" w:hanging="360"/>
      </w:pPr>
    </w:lvl>
    <w:lvl w:ilvl="1">
      <w:start w:val="4"/>
      <w:numFmt w:val="upperRoman"/>
      <w:lvlText w:val="%2."/>
      <w:lvlJc w:val="left"/>
      <w:pPr>
        <w:ind w:left="1440" w:hanging="360"/>
      </w:pPr>
    </w:lvl>
    <w:lvl w:ilvl="2">
      <w:start w:val="4"/>
      <w:numFmt w:val="upperRoman"/>
      <w:lvlText w:val="%3."/>
      <w:lvlJc w:val="left"/>
      <w:pPr>
        <w:ind w:left="2160" w:hanging="360"/>
      </w:pPr>
    </w:lvl>
    <w:lvl w:ilvl="3">
      <w:start w:val="4"/>
      <w:numFmt w:val="upperRoman"/>
      <w:lvlText w:val="%4."/>
      <w:lvlJc w:val="left"/>
      <w:pPr>
        <w:ind w:left="2880" w:hanging="360"/>
      </w:pPr>
    </w:lvl>
    <w:lvl w:ilvl="4">
      <w:start w:val="4"/>
      <w:numFmt w:val="upperRoman"/>
      <w:lvlText w:val="%5."/>
      <w:lvlJc w:val="left"/>
      <w:pPr>
        <w:ind w:left="3600" w:hanging="360"/>
      </w:pPr>
    </w:lvl>
    <w:lvl w:ilvl="5">
      <w:start w:val="4"/>
      <w:numFmt w:val="upperRoman"/>
      <w:lvlText w:val="%6."/>
      <w:lvlJc w:val="left"/>
      <w:pPr>
        <w:ind w:left="4320" w:hanging="360"/>
      </w:pPr>
    </w:lvl>
    <w:lvl w:ilvl="6">
      <w:start w:val="4"/>
      <w:numFmt w:val="upperRoman"/>
      <w:lvlText w:val="%7."/>
      <w:lvlJc w:val="left"/>
      <w:pPr>
        <w:ind w:left="5040" w:hanging="360"/>
      </w:pPr>
    </w:lvl>
    <w:lvl w:ilvl="7">
      <w:start w:val="4"/>
      <w:numFmt w:val="upperRoman"/>
      <w:lvlText w:val="%8."/>
      <w:lvlJc w:val="left"/>
      <w:pPr>
        <w:ind w:left="5760" w:hanging="360"/>
      </w:pPr>
    </w:lvl>
    <w:lvl w:ilvl="8">
      <w:start w:val="4"/>
      <w:numFmt w:val="upp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6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6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6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2026-10-16T18:46:33Z</dcterms:created>
  <dcterms:modified xsi:type="dcterms:W3CDTF">2026-10-16T18:46:33Z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